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6,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First Watch Restaurant Group,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001-40866</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82-4271369</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8725 Pendery Place</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Suite 201</w:t>
      </w:r>
      <w:r>
        <w:rPr>
          <w:rFonts w:ascii="Arial" w:cs="Arial" w:eastAsia="Arial" w:hAnsi="Arial"/>
          <w:sz w:val="18"/>
          <w:szCs w:val="18"/>
          <w:b w:val="1"/>
          <w:bCs w:val="1"/>
          <w:color w:val="auto"/>
        </w:rPr>
        <w:t>,</w:t>
      </w:r>
    </w:p>
    <w:p>
      <w:pPr>
        <w:spacing w:after="0" w:line="32"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Bradenton, FL 34201</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(941) 907-9800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1245" w:right="339" w:bottom="1440" w:gutter="0" w:footer="0" w:header="0"/>
          <w:type w:val="continuous"/>
        </w:sectPr>
      </w:pPr>
    </w:p>
    <w:p>
      <w:pPr>
        <w:spacing w:after="0" w:line="16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2"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65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65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65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65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79"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60" w:type="dxa"/>
            <w:vAlign w:val="bottom"/>
          </w:tcPr>
          <w:p>
            <w:pPr>
              <w:spacing w:after="0"/>
              <w:rPr>
                <w:sz w:val="19"/>
                <w:szCs w:val="19"/>
                <w:color w:val="auto"/>
              </w:rPr>
            </w:pP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5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420" w:type="dxa"/>
            <w:vAlign w:val="bottom"/>
          </w:tcPr>
          <w:p>
            <w:pPr>
              <w:spacing w:after="0"/>
              <w:rPr>
                <w:sz w:val="24"/>
                <w:szCs w:val="24"/>
                <w:color w:val="auto"/>
              </w:rPr>
            </w:pPr>
          </w:p>
        </w:tc>
        <w:tc>
          <w:tcPr>
            <w:tcW w:w="264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FWRG</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17"/>
        </w:trPr>
        <w:tc>
          <w:tcPr>
            <w:tcW w:w="2560" w:type="dxa"/>
            <w:vAlign w:val="bottom"/>
            <w:gridSpan w:val="3"/>
            <w:vMerge w:val="continue"/>
          </w:tcPr>
          <w:p>
            <w:pPr>
              <w:spacing w:after="0"/>
              <w:rPr>
                <w:sz w:val="10"/>
                <w:szCs w:val="10"/>
                <w:color w:val="auto"/>
              </w:rPr>
            </w:pPr>
          </w:p>
        </w:tc>
        <w:tc>
          <w:tcPr>
            <w:tcW w:w="1420" w:type="dxa"/>
            <w:vAlign w:val="bottom"/>
          </w:tcPr>
          <w:p>
            <w:pPr>
              <w:spacing w:after="0"/>
              <w:rPr>
                <w:sz w:val="10"/>
                <w:szCs w:val="10"/>
                <w:color w:val="auto"/>
              </w:rPr>
            </w:pPr>
          </w:p>
        </w:tc>
        <w:tc>
          <w:tcPr>
            <w:tcW w:w="2640" w:type="dxa"/>
            <w:vAlign w:val="bottom"/>
            <w:gridSpan w:val="2"/>
            <w:vMerge w:val="continue"/>
          </w:tcPr>
          <w:p>
            <w:pPr>
              <w:spacing w:after="0"/>
              <w:rPr>
                <w:sz w:val="10"/>
                <w:szCs w:val="10"/>
                <w:color w:val="auto"/>
              </w:rPr>
            </w:pP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21" w:lineRule="exact"/>
        <w:rPr>
          <w:sz w:val="24"/>
          <w:szCs w:val="24"/>
          <w:color w:val="auto"/>
        </w:rPr>
      </w:pPr>
    </w:p>
    <w:p>
      <w:pPr>
        <w:ind w:right="1620"/>
        <w:spacing w:after="0" w:line="289"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2026, the Board of Directors of First Watch Restaurant Group, Inc. (the “Company”) appointed Ashlee Weisser, the Company’s Senior Vice President, Financial Planning &amp; Analysis, as the Company’s Chief Financial Officer, effective June 8, 2026. Ms. Weisser will serve as the Company’s principal financial officer and principal accounting officer effective June 8, 2026. Ms. Weisser, age 43, has served as our Senior Vice President, Financial Planning &amp; Analysis since October 2023. Ms. Weisser previously served as Chief Financial Officer of Raney’s LLC, a provider of aftermarket parts and accessories for the heavy duty trucking industry, from January 2023 to October 2023. Prior to that, she served as Chief Financial Officer of Maple Street Biscuit Company, a fast-casual restaurant chain, from June 2021 to December 2022 and as Interim CEO from December 2021 to April 2022. From May 2018 to June 2021, Ms. Weisser served in a variety of leadership roles at Bloomin’ Brands, Inc., a casual dining restaurant company, ultimately serving as Chief Financial Officer for Outback Steakhouse. From 2012 to 2018, she served in a variety of roles of increasing responsibility at Red Robin Gourmet Burgers, Inc. A copy of the Company’s press release issued on June 8, 2026 announcing the appointment of Ms. Weisser as the Company’s Chief Financial Officer is filed as an exhibit to this report.</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Ms. Weisser and any director or executive officer of the Company, and she has no direct or indirect material interest in any transaction required to be disclosed pursuant to Item 404(a) of Regulation S-K. Further, there are no arrangements or understandings between Ms. Weisser and any other person pursuant to which she was selected to become the Company’s Chief Financial Officer.</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6, 2026, in connection with her appointment as Chief Financial Officer described above, upon the recommendation of the Compensation Committee, the Board of Directors approved new compensation arrangements for Ms. Weisser effective June 8, 2026. Ms. Weisser’s base salary will be $475,000 and her target annual bonus under the Company’s annual cash incentive program will be 70% of her annual base salary. In addition, in connection with her appointment, Ms. Weisser received an equity grant in the form of restricted stock units that have a fair market value of $275,000 on the date of grant of June 8, 2026.</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announced in the Company’s Current Report on Form 8-K dated February 20, 2026, it is expected that Mr. Hope will serve as an advisor to the Company for a period of time to ensure a smooth transition.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 Exhibits.</w:t>
            </w:r>
          </w:p>
        </w:tc>
        <w:tc>
          <w:tcPr>
            <w:tcW w:w="19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486"/>
        </w:trPr>
        <w:tc>
          <w:tcPr>
            <w:tcW w:w="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No.</w:t>
            </w:r>
          </w:p>
        </w:tc>
        <w:tc>
          <w:tcPr>
            <w:tcW w:w="58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Title or Description</w:t>
            </w:r>
          </w:p>
        </w:tc>
      </w:tr>
      <w:tr>
        <w:trPr>
          <w:trHeight w:val="20"/>
        </w:trPr>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63"/>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22"/>
                <w:szCs w:val="22"/>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First Watch Restaurant Group, Inc. dated June 8, 2026</w:t>
            </w:r>
          </w:p>
        </w:tc>
      </w:tr>
      <w:tr>
        <w:trPr>
          <w:trHeight w:val="20"/>
        </w:trPr>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2"/>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304"/>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02"/>
        </w:trPr>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0"/>
          <w:szCs w:val="20"/>
          <w:b w:val="1"/>
          <w:bCs w:val="1"/>
          <w:color w:val="auto"/>
        </w:rPr>
        <w:t>First Watch Restaurant Group, Inc.</w:t>
      </w:r>
    </w:p>
    <w:p>
      <w:pPr>
        <w:spacing w:after="0" w:line="32"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0"/>
          <w:szCs w:val="20"/>
          <w:color w:val="auto"/>
        </w:rPr>
        <w:t>(Registrant)</w:t>
      </w:r>
    </w:p>
    <w:p>
      <w:pPr>
        <w:spacing w:after="0" w:line="326" w:lineRule="exact"/>
        <w:rPr>
          <w:sz w:val="20"/>
          <w:szCs w:val="20"/>
          <w:color w:val="auto"/>
        </w:rPr>
      </w:pPr>
    </w:p>
    <w:p>
      <w:pPr>
        <w:ind w:left="40"/>
        <w:spacing w:after="0"/>
        <w:tabs>
          <w:tab w:leader="none" w:pos="5780" w:val="left"/>
          <w:tab w:leader="none" w:pos="6580" w:val="left"/>
        </w:tabs>
        <w:rPr>
          <w:sz w:val="20"/>
          <w:szCs w:val="20"/>
          <w:color w:val="auto"/>
        </w:rPr>
      </w:pPr>
      <w:r>
        <w:rPr>
          <w:rFonts w:ascii="Times New Roman" w:cs="Times New Roman" w:eastAsia="Times New Roman" w:hAnsi="Times New Roman"/>
          <w:sz w:val="18"/>
          <w:szCs w:val="18"/>
          <w:color w:val="auto"/>
        </w:rPr>
        <w:t>Date: June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Wolszczak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43180</wp:posOffset>
            </wp:positionV>
            <wp:extent cx="2974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57" w:lineRule="exact"/>
        <w:rPr>
          <w:sz w:val="20"/>
          <w:szCs w:val="20"/>
          <w:color w:val="auto"/>
        </w:rPr>
      </w:pPr>
    </w:p>
    <w:p>
      <w:pPr>
        <w:ind w:left="5800"/>
        <w:spacing w:after="0"/>
        <w:tabs>
          <w:tab w:leader="none" w:pos="6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Jay Wolszczak</w:t>
      </w:r>
    </w:p>
    <w:p>
      <w:pPr>
        <w:spacing w:after="0" w:line="90" w:lineRule="exact"/>
        <w:rPr>
          <w:sz w:val="20"/>
          <w:szCs w:val="20"/>
          <w:color w:val="auto"/>
        </w:rPr>
      </w:pPr>
    </w:p>
    <w:p>
      <w:pPr>
        <w:ind w:left="580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Legal Officer, General Counsel and Secretary</w:t>
      </w:r>
    </w:p>
    <w:p>
      <w:pPr>
        <w:sectPr>
          <w:pgSz w:w="11900" w:h="16838" w:orient="portrait"/>
          <w:cols w:equalWidth="0" w:num="1">
            <w:col w:w="11240"/>
          </w:cols>
          <w:pgMar w:left="320" w:top="1089" w:right="339" w:bottom="1440" w:gutter="0" w:footer="0" w:header="0"/>
        </w:sectPr>
      </w:pPr>
    </w:p>
    <w:bookmarkStart w:id="3" w:name="page4"/>
    <w:bookmarkEnd w:id="3"/>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172085</wp:posOffset>
            </wp:positionV>
            <wp:extent cx="1080135" cy="711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13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First Watch Restaurant Group, Inc. Announces Appointment of</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Ashlee Weisser to Chief Financial Officer</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BRADENTON, Fla.</w:t>
      </w:r>
      <w:r>
        <w:rPr>
          <w:rFonts w:ascii="Arial" w:cs="Arial" w:eastAsia="Arial" w:hAnsi="Arial"/>
          <w:sz w:val="18"/>
          <w:szCs w:val="18"/>
          <w:color w:val="auto"/>
        </w:rPr>
        <w:t>, — June 8, 2026 (GLOBE NEWSWIRE) — First Watch Restaurant Group, Inc. (Nasdaq: FWRG) (“First Watch”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leading Daytime Dining concept serving breakfast, brunch and lunch, today announced the appointment of Ashlee Weisser to Chief Financial Officer effective June 8, 2026. She succeeds Mel Hope, who announced his planned retirement earlier this year and will continue to serve in an Advisor role to support a seamless leadership transition.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Weisser joined First Watch in 2023 as Senior Vice President, Financial Planning and Analysis, with over 15 years of experience guiding financial strategy and success at several national restaurant concepts, including most recently as CFO at Maple Street Biscuit Company during its aggressive growth stage following its acquisition by Cracker Barrel. Earlier in her career, she held several finance roles of increasing responsibility at Bloomin’ Brands, Red Robin and Darden.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“Throughout her time at First Watch, Ashlee has consistently demonstrated strong financial discipline, strategic insight and a results-driven mindset,” said Chris Tomasso, CEO and President of First Watch. “She has strengthened our financial foundation, advanced key growth initiatives and built a high -performing team to support our continued growth and evolution. This promotion reflects both her track record and her leadership, and we’re confident she will continue to play a critical role in driving our long-term success and shareholder value.”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previously announced, Hope plans to retire following a distinguished career with the Company. “We are grateful for Mel’s leadership and many contributions over the years including his significant role in our successful initial public offering, and we look forward to continuing to benefit from his experience and counsel as an Advisor in the months ahead,” said Tomasso.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First Watch</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First Watch is the leading Daytime Dining concept serving made-to-order breakfast, brunch and lunch using the freshest ingredients available. Guided by its “Follow the Sun” culinary philosophy, First Watch's chef-driven menu rotates multiple times per year to feature the highest-quality flavors at their peak, offering elevated executions of classic favorites, fresh juices like the Kale Tonic, and fan favorites such as the Lemon Ricotta Pancakes, Quinoa Power Bowl and signature Million Dollar Bacon. For every kid’s meal served, First Watch proudly donates a portion to organizations and causes making a positive impact in our communities – raising approximately $2.0 million to date. A recipient of hundreds of local “Best Breakfast” and “Best Brunch” awards, First Watch was voted 2025’s #1 Best Breakfast by Newsweek’s Readers’ Choice Awards and was also named 2025 and 2024’s #1 Most Loved Workplace® in America by the Best Practice Institute (as seen in The Wall Street Journal), after appearing on the list in 2022 and 2023 as well. With a commitment to quality, hospitality and community, First Watch is redefining Daytime Dining across more than 640 restaurants in 32 states. For more information, visit www.firstwatch.com.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release contains forward-looking statements within the meaning of the Private Securities Litigation Reform Act of 1995, which are subject to known and unknown risks, uncertainties and other important</w:t>
      </w:r>
    </w:p>
    <w:p>
      <w:pPr>
        <w:sectPr>
          <w:pgSz w:w="11900" w:h="16838" w:orient="portrait"/>
          <w:cols w:equalWidth="0" w:num="1">
            <w:col w:w="11240"/>
          </w:cols>
          <w:pgMar w:left="320" w:top="1440" w:right="339" w:bottom="1440" w:gutter="0" w:footer="0" w:header="0"/>
        </w:sectPr>
      </w:pPr>
    </w:p>
    <w:bookmarkStart w:id="4" w:name="page5"/>
    <w:bookmarkEnd w:id="4"/>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Examples of forward-looking statements include, but are not limited to, statements we make regarding our future long-term success and shareholder value and our leadership transition.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w:t>
      </w:r>
    </w:p>
    <w:p>
      <w:pPr>
        <w:spacing w:after="0" w:line="21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vulnerability to changes in consumer preferences and economic conditions such as inflation and recession;</w:t>
      </w:r>
    </w:p>
    <w:p>
      <w:pPr>
        <w:spacing w:after="0" w:line="2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successfully open new restaurants or establish new markets;</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effectively manage our growth;</w:t>
      </w:r>
    </w:p>
    <w:p>
      <w:pPr>
        <w:spacing w:after="0" w:line="22" w:lineRule="exact"/>
        <w:rPr>
          <w:rFonts w:ascii="Arial" w:cs="Arial" w:eastAsia="Arial" w:hAnsi="Arial"/>
          <w:sz w:val="18"/>
          <w:szCs w:val="18"/>
          <w:color w:val="auto"/>
        </w:rPr>
      </w:pPr>
    </w:p>
    <w:p>
      <w:pPr>
        <w:ind w:left="980" w:hanging="324"/>
        <w:spacing w:after="0" w:line="258"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negative impacts on sales at our and our franchisees’ restaurants as a result of our opening new restaurants in existing markets;</w:t>
      </w: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decline in visitors to any of the retail centers, lifestyle centers, or entertainment centers where our restaurants are located;</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than expected same-restaurant sales growth;</w:t>
      </w:r>
    </w:p>
    <w:p>
      <w:pPr>
        <w:spacing w:after="0" w:line="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unsuccessful marketing programs and limited time new offerings;</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of food;</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unprofitability or closure of new restaurants or lower than previously experienced performance in existing restaurants;</w:t>
      </w:r>
    </w:p>
    <w:p>
      <w:pPr>
        <w:spacing w:after="0" w:line="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compete effectively for customers;</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vulnerability to food safety and food-borne illness concerns;</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unsuccessful financial performance of our franchisees;</w:t>
      </w:r>
    </w:p>
    <w:p>
      <w:pPr>
        <w:spacing w:after="0" w:line="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control over our franchisees’ operations;</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maintain good relationships with our franchisees and conflicts of interest with our franchisees;</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geographic concentration of our system-wide restaurant base in the southeast portion of the United States;</w:t>
      </w:r>
    </w:p>
    <w:p>
      <w:pPr>
        <w:spacing w:after="0" w:line="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damage to our reputation and negative publicity;</w:t>
      </w:r>
    </w:p>
    <w:p>
      <w:pPr>
        <w:spacing w:after="0" w:line="13"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or failure to recognize, respond to and effectively manage the accelerated impact of social media and artificial intelligence;</w:t>
      </w:r>
    </w:p>
    <w:p>
      <w:pPr>
        <w:ind w:left="980" w:hanging="324"/>
        <w:spacing w:after="0" w:line="261"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number of suppliers and distributors for several of our frequently used ingredients and shortages or disruptions in the supply or delivery of such ingredients;</w:t>
      </w: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technology system failures or breaches of our network security;</w:t>
      </w:r>
    </w:p>
    <w:p>
      <w:pPr>
        <w:spacing w:after="0" w:line="17" w:lineRule="exact"/>
        <w:rPr>
          <w:rFonts w:ascii="Arial" w:cs="Arial" w:eastAsia="Arial" w:hAnsi="Arial"/>
          <w:sz w:val="18"/>
          <w:szCs w:val="18"/>
          <w:color w:val="auto"/>
        </w:rPr>
      </w:pPr>
    </w:p>
    <w:p>
      <w:pPr>
        <w:jc w:val="both"/>
        <w:ind w:left="980" w:hanging="324"/>
        <w:spacing w:after="0" w:line="260"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liability with our gift cards under the property laws of some states;</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failure to enforce and maintain our trademarks and protect our other intellectual property;</w:t>
      </w:r>
    </w:p>
    <w:p>
      <w:pPr>
        <w:spacing w:after="0" w:line="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with respect to intellectual property assets;</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our executive officers and certain other key employees;</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identify, hire, train and retain qualified individuals for our workforce;</w:t>
      </w:r>
    </w:p>
    <w:p>
      <w:pPr>
        <w:spacing w:after="0" w:line="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failure to obtain or to properly verify the employment eligibility of our employees;</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failure to maintain our corporate culture as we grow;</w:t>
      </w:r>
    </w:p>
    <w:p>
      <w:pPr>
        <w:sectPr>
          <w:pgSz w:w="11900" w:h="16838" w:orient="portrait"/>
          <w:cols w:equalWidth="0" w:num="1">
            <w:col w:w="11240"/>
          </w:cols>
          <w:pgMar w:left="320" w:top="1440" w:right="339" w:bottom="1440" w:gutter="0" w:footer="0" w:header="0"/>
        </w:sectPr>
      </w:pPr>
    </w:p>
    <w:bookmarkStart w:id="5" w:name="page6"/>
    <w:bookmarkEnd w:id="5"/>
    <w:p>
      <w:pPr>
        <w:spacing w:after="0" w:line="5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unionization activities among our employees;</w:t>
      </w:r>
    </w:p>
    <w:p>
      <w:pPr>
        <w:spacing w:after="0" w:line="2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employment and labor law proceedings;</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shortages or increased labor costs or health care costs;</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property subject to long-term and non-cancelable leases;</w:t>
      </w:r>
    </w:p>
    <w:p>
      <w:pPr>
        <w:spacing w:after="0" w:line="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sale of alcoholic beverages;</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costly and complex compliance with federal, state and local laws, including trade and tax policies;</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principles applicable to us;</w:t>
      </w:r>
    </w:p>
    <w:p>
      <w:pPr>
        <w:spacing w:after="0" w:line="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vulnerability to natural disasters, unusual weather conditions, pandemic outbreaks, political events, war and terrorism;</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secure additional capital to support business growth;</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 of indebtedness;</w:t>
      </w:r>
    </w:p>
    <w:p>
      <w:pPr>
        <w:spacing w:after="0" w:line="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covenants under our credit facility; and</w:t>
      </w:r>
    </w:p>
    <w:p>
      <w:pPr>
        <w:spacing w:after="0" w:line="13" w:lineRule="exact"/>
        <w:rPr>
          <w:rFonts w:ascii="Arial" w:cs="Arial" w:eastAsia="Arial" w:hAnsi="Arial"/>
          <w:sz w:val="18"/>
          <w:szCs w:val="18"/>
          <w:color w:val="auto"/>
        </w:rPr>
      </w:pPr>
    </w:p>
    <w:p>
      <w:pPr>
        <w:ind w:left="980" w:hanging="324"/>
        <w:spacing w:after="0" w:line="292"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regarding the Russia and Ukraine war, war and unrest in the Middle East and the related impact on macroeconomic conditions, including inflation, as a result of such conflicts or other related events.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See Part I. Item 1A. “Risk Factors” in our Annual Report on Form 10-K as of and for the year ended December 28, 2025 (“2025 Form 10-K”) for a further description of these and other factors. For the reasons described above, we caution you against relying on any forward-looking statements, which should also be read in conjunction with the other cautionary statements that are included elsewhere in this press release and in our filings with the Securities and Exchange Commission. Any forward-looking statement made by us in this press release speaks only as of the date hereof and is expressly qualified in its entirety by these cautionary statements.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Relations Contact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Steven L. Marotta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941-500-1918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investors@firstwatch.com</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Relations Contact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Jenni Glester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407-864-5823</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jglester@firstwatch.com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2026-06-08T15:31:40Z</dcterms:created>
  <dcterms:modified xsi:type="dcterms:W3CDTF">2026-06-08T15:31:40Z</dcterms:modified>
</cp:coreProperties>
</file>